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71" w:rsidRDefault="00FE0332" w:rsidP="001F1E71">
      <w:pPr>
        <w:autoSpaceDE w:val="0"/>
        <w:rPr>
          <w:rFonts w:ascii="ArialMT" w:eastAsia="ArialMT" w:hAnsi="ArialMT" w:cs="ArialMT"/>
          <w:sz w:val="26"/>
          <w:szCs w:val="2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339.95pt;height:50.7pt;rotation:90;z-index:251660288;mso-position-horizontal:left;mso-position-horizontal-relative:margin;mso-position-vertical:top;mso-position-vertical-relative:margin" fillcolor="#4e6128" strokecolor="yellow" strokeweight="1.25pt">
            <v:fill color2="fill darken(118)" rotate="t" method="linear sigma" focus="-50%" type="gradient"/>
            <v:shadow color="#868686"/>
            <v:textpath style="font-family:&quot;Arial Black&quot;;v-rotate-letters:t;v-text-kern:t" trim="t" fitpath="t" string="Energija biomase"/>
            <w10:wrap type="square" anchorx="margin" anchory="margin"/>
          </v:shape>
        </w:pict>
      </w:r>
    </w:p>
    <w:p w:rsidR="00FE0332" w:rsidRDefault="00FE0332" w:rsidP="00FE0332">
      <w:pPr>
        <w:autoSpaceDE w:val="0"/>
        <w:jc w:val="center"/>
        <w:rPr>
          <w:rFonts w:ascii="ArialMT" w:eastAsia="ArialMT" w:hAnsi="ArialMT" w:cs="ArialMT"/>
          <w:sz w:val="26"/>
          <w:szCs w:val="26"/>
        </w:rPr>
      </w:pPr>
      <w:r>
        <w:rPr>
          <w:rFonts w:ascii="ArialMT" w:eastAsia="ArialMT" w:hAnsi="ArialMT" w:cs="ArialMT"/>
          <w:noProof/>
          <w:sz w:val="26"/>
          <w:szCs w:val="26"/>
          <w:lang w:val="hr-HR" w:eastAsia="hr-HR" w:bidi="ar-SA"/>
        </w:rPr>
        <w:drawing>
          <wp:inline distT="0" distB="0" distL="0" distR="0">
            <wp:extent cx="3672540" cy="4214191"/>
            <wp:effectExtent l="19050" t="0" r="4110" b="0"/>
            <wp:docPr id="1" name="Slika 0" descr="biomass_fuel_production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mass_fuel_production_ful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5095" cy="421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332" w:rsidRDefault="00FE0332" w:rsidP="00FE0332">
      <w:pPr>
        <w:autoSpaceDE w:val="0"/>
        <w:jc w:val="center"/>
        <w:rPr>
          <w:rFonts w:ascii="ArialMT" w:eastAsia="ArialMT" w:hAnsi="ArialMT" w:cs="ArialMT"/>
          <w:sz w:val="26"/>
          <w:szCs w:val="26"/>
        </w:rPr>
      </w:pPr>
    </w:p>
    <w:p w:rsidR="00FE0332" w:rsidRDefault="00FE0332" w:rsidP="00FE0332">
      <w:pPr>
        <w:autoSpaceDE w:val="0"/>
        <w:jc w:val="center"/>
        <w:rPr>
          <w:rFonts w:ascii="ArialMT" w:eastAsia="ArialMT" w:hAnsi="ArialMT" w:cs="ArialMT"/>
          <w:sz w:val="26"/>
          <w:szCs w:val="26"/>
        </w:rPr>
      </w:pPr>
    </w:p>
    <w:p w:rsidR="00927A9E" w:rsidRPr="00927A9E" w:rsidRDefault="00927A9E" w:rsidP="00927A9E">
      <w:pPr>
        <w:pBdr>
          <w:top w:val="single" w:sz="6" w:space="1" w:color="76923C" w:themeColor="accent3" w:themeShade="BF" w:shadow="1"/>
          <w:left w:val="single" w:sz="6" w:space="4" w:color="76923C" w:themeColor="accent3" w:themeShade="BF" w:shadow="1"/>
          <w:bottom w:val="single" w:sz="6" w:space="1" w:color="76923C" w:themeColor="accent3" w:themeShade="BF" w:shadow="1"/>
          <w:right w:val="single" w:sz="6" w:space="4" w:color="76923C" w:themeColor="accent3" w:themeShade="BF" w:shadow="1"/>
        </w:pBdr>
        <w:shd w:val="clear" w:color="auto" w:fill="D6E3BC" w:themeFill="accent3" w:themeFillTint="66"/>
        <w:autoSpaceDE w:val="0"/>
        <w:ind w:left="567" w:right="567"/>
        <w:jc w:val="both"/>
        <w:rPr>
          <w:rFonts w:ascii="Arial" w:hAnsi="Arial" w:cs="Arial"/>
          <w:color w:val="4A442A" w:themeColor="background2" w:themeShade="40"/>
        </w:rPr>
      </w:pPr>
      <w:r w:rsidRPr="00927A9E">
        <w:rPr>
          <w:rFonts w:ascii="Arial" w:hAnsi="Arial" w:cs="Arial"/>
          <w:b/>
          <w:bCs/>
          <w:color w:val="4A442A" w:themeColor="background2" w:themeShade="40"/>
        </w:rPr>
        <w:t>Biomasa</w:t>
      </w:r>
      <w:r w:rsidRPr="00927A9E">
        <w:rPr>
          <w:rFonts w:ascii="Arial" w:hAnsi="Arial" w:cs="Arial"/>
          <w:color w:val="4A442A" w:themeColor="background2" w:themeShade="40"/>
        </w:rPr>
        <w:t>: živuća ili donedavno živuća materij</w:t>
      </w:r>
      <w:r>
        <w:rPr>
          <w:rFonts w:ascii="Arial" w:hAnsi="Arial" w:cs="Arial"/>
          <w:color w:val="4A442A" w:themeColor="background2" w:themeShade="40"/>
        </w:rPr>
        <w:t>a</w:t>
      </w:r>
      <w:r w:rsidRPr="00927A9E">
        <w:rPr>
          <w:rFonts w:ascii="Arial" w:hAnsi="Arial" w:cs="Arial"/>
          <w:color w:val="4A442A" w:themeColor="background2" w:themeShade="40"/>
        </w:rPr>
        <w:t>, biljnog ili životinjskog porijekla, koja se može koristiti kao gorivo ili za industrijsku proizvodnju.</w:t>
      </w:r>
    </w:p>
    <w:p w:rsidR="00927A9E" w:rsidRDefault="00927A9E" w:rsidP="00FE0332">
      <w:pPr>
        <w:autoSpaceDE w:val="0"/>
        <w:jc w:val="both"/>
      </w:pPr>
    </w:p>
    <w:p w:rsidR="001F1E71" w:rsidRPr="00FE0332" w:rsidRDefault="001F1E71" w:rsidP="00FE0332">
      <w:pPr>
        <w:autoSpaceDE w:val="0"/>
        <w:jc w:val="both"/>
        <w:rPr>
          <w:rFonts w:ascii="Arial" w:eastAsia="ArialMT" w:hAnsi="Arial" w:cs="Arial"/>
          <w:color w:val="4A442A" w:themeColor="background2" w:themeShade="40"/>
        </w:rPr>
      </w:pPr>
      <w:r w:rsidRPr="00FE0332">
        <w:rPr>
          <w:rFonts w:ascii="Arial" w:eastAsia="ArialMT" w:hAnsi="Arial" w:cs="Arial"/>
          <w:color w:val="4A442A" w:themeColor="background2" w:themeShade="40"/>
        </w:rPr>
        <w:t>Prinos bioplina iz različitih ostataka može dati isplative investicije. Tako kravlji i svinjski izmet daje 30 metara kubnih plina po toni supstrata, izmet pilića 58 kubnih metara plina, silaža od trave 151 kubni metar, silaža kukuruza i ostaci hrane oko 200 kubnih metara plina, slama žitarica 300 kubnih metara plina, pogača uljane repice 550, ostaci kruha 580, zrno žitarica 600 kubnih metara plina.</w:t>
      </w:r>
    </w:p>
    <w:p w:rsidR="00FE0332" w:rsidRPr="00FE0332" w:rsidRDefault="00FE0332" w:rsidP="00FE0332">
      <w:pPr>
        <w:autoSpaceDE w:val="0"/>
        <w:jc w:val="both"/>
        <w:rPr>
          <w:rFonts w:ascii="Arial" w:eastAsia="ArialMT" w:hAnsi="Arial" w:cs="Arial"/>
          <w:color w:val="4A442A" w:themeColor="background2" w:themeShade="40"/>
        </w:rPr>
      </w:pPr>
    </w:p>
    <w:p w:rsidR="001F1E71" w:rsidRPr="00FE0332" w:rsidRDefault="001F1E71" w:rsidP="00FE0332">
      <w:pPr>
        <w:autoSpaceDE w:val="0"/>
        <w:jc w:val="both"/>
        <w:rPr>
          <w:rFonts w:ascii="Arial" w:eastAsia="ArialMT" w:hAnsi="Arial" w:cs="Arial"/>
          <w:color w:val="4A442A" w:themeColor="background2" w:themeShade="40"/>
        </w:rPr>
      </w:pPr>
      <w:r w:rsidRPr="00FE0332">
        <w:rPr>
          <w:rFonts w:ascii="Arial" w:eastAsia="ArialMT" w:hAnsi="Arial" w:cs="Arial"/>
          <w:color w:val="4A442A" w:themeColor="background2" w:themeShade="40"/>
        </w:rPr>
        <w:t>Postoje različiti načini korištenja biomase, ovisno o procesu može se dobiti plin ili crno ulje, što se kasnije koristi u proizvodnji energije. O bioetanolu se već mnogo zna, tako Brazil proizvodi 70 posto svjetske proizvodnje za svoje potrebe, a Njemačka proizvodi oko 2 milijuna tona biodizela.</w:t>
      </w:r>
    </w:p>
    <w:p w:rsidR="00FE0332" w:rsidRPr="00FE0332" w:rsidRDefault="00FE0332" w:rsidP="00FE0332">
      <w:pPr>
        <w:autoSpaceDE w:val="0"/>
        <w:jc w:val="both"/>
        <w:rPr>
          <w:rFonts w:ascii="Arial" w:eastAsia="ArialMT" w:hAnsi="Arial" w:cs="Arial"/>
          <w:color w:val="4A442A" w:themeColor="background2" w:themeShade="40"/>
        </w:rPr>
      </w:pPr>
    </w:p>
    <w:p w:rsidR="001F1E71" w:rsidRPr="00FE0332" w:rsidRDefault="001F1E71" w:rsidP="00FE0332">
      <w:pPr>
        <w:autoSpaceDE w:val="0"/>
        <w:jc w:val="both"/>
        <w:rPr>
          <w:rFonts w:ascii="Arial" w:eastAsia="ArialMT" w:hAnsi="Arial" w:cs="Arial"/>
          <w:color w:val="4A442A" w:themeColor="background2" w:themeShade="40"/>
        </w:rPr>
      </w:pPr>
      <w:r w:rsidRPr="00FE0332">
        <w:rPr>
          <w:rFonts w:ascii="Arial" w:eastAsia="ArialMT" w:hAnsi="Arial" w:cs="Arial"/>
          <w:color w:val="4A442A" w:themeColor="background2" w:themeShade="40"/>
        </w:rPr>
        <w:t>U zadnje vrijeme okrivljuje se proizvodnja energije od biomase zbog poskupljenja hrane u svijetu, u svakom slučaju, najprije treba proizvesti dovoljno hrane pa tek onda energiju. No najgore je ako zemlja stoji neobrađena, kako je to bilo godinama u Hrvatskoj, a tako je dijelom i danas.</w:t>
      </w:r>
    </w:p>
    <w:p w:rsidR="00FE0332" w:rsidRPr="00FE0332" w:rsidRDefault="00FE0332" w:rsidP="00FE0332">
      <w:pPr>
        <w:autoSpaceDE w:val="0"/>
        <w:jc w:val="both"/>
        <w:rPr>
          <w:rFonts w:ascii="Arial" w:eastAsia="ArialMT" w:hAnsi="Arial" w:cs="Arial"/>
          <w:color w:val="4A442A" w:themeColor="background2" w:themeShade="40"/>
        </w:rPr>
      </w:pPr>
    </w:p>
    <w:p w:rsidR="001F1E71" w:rsidRPr="00FE0332" w:rsidRDefault="001F1E71" w:rsidP="00FE0332">
      <w:pPr>
        <w:autoSpaceDE w:val="0"/>
        <w:jc w:val="both"/>
        <w:rPr>
          <w:rFonts w:ascii="Arial" w:eastAsia="ArialMT" w:hAnsi="Arial" w:cs="Arial"/>
          <w:b/>
          <w:color w:val="4A442A" w:themeColor="background2" w:themeShade="40"/>
        </w:rPr>
      </w:pPr>
      <w:r w:rsidRPr="00FE0332">
        <w:rPr>
          <w:rFonts w:ascii="Arial" w:eastAsia="ArialMT" w:hAnsi="Arial" w:cs="Arial"/>
          <w:b/>
          <w:color w:val="4A442A" w:themeColor="background2" w:themeShade="40"/>
        </w:rPr>
        <w:t>U Hrvatskoj se biomasa slabije koristi za proizvodnju energije, no očekuje se da će se to povećati do 2030. godine na 5,8 do 10,8 posto ukupne energije.</w:t>
      </w:r>
    </w:p>
    <w:p w:rsidR="00AD14BF" w:rsidRPr="00FE0332" w:rsidRDefault="00B70972" w:rsidP="00FE0332">
      <w:pPr>
        <w:jc w:val="both"/>
        <w:rPr>
          <w:rFonts w:ascii="Arial" w:hAnsi="Arial" w:cs="Arial"/>
          <w:color w:val="31849B" w:themeColor="accent5" w:themeShade="BF"/>
        </w:rPr>
      </w:pPr>
    </w:p>
    <w:p w:rsidR="00FE0332" w:rsidRDefault="00FE0332" w:rsidP="00FE0332">
      <w:pPr>
        <w:jc w:val="both"/>
      </w:pPr>
    </w:p>
    <w:sectPr w:rsidR="00FE0332" w:rsidSect="008269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972" w:rsidRDefault="00B70972" w:rsidP="00FE0332">
      <w:r>
        <w:separator/>
      </w:r>
    </w:p>
  </w:endnote>
  <w:endnote w:type="continuationSeparator" w:id="1">
    <w:p w:rsidR="00B70972" w:rsidRDefault="00B70972" w:rsidP="00FE0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027"/>
      <w:gridCol w:w="1232"/>
      <w:gridCol w:w="4029"/>
    </w:tblGrid>
    <w:tr w:rsidR="00FE0332" w:rsidTr="00FE0332">
      <w:trPr>
        <w:trHeight w:val="151"/>
      </w:trPr>
      <w:tc>
        <w:tcPr>
          <w:tcW w:w="2168" w:type="pct"/>
          <w:tcBorders>
            <w:bottom w:val="single" w:sz="4" w:space="0" w:color="4F81BD" w:themeColor="accent1"/>
          </w:tcBorders>
        </w:tcPr>
        <w:p w:rsidR="00FE0332" w:rsidRDefault="00FE0332">
          <w:pPr>
            <w:pStyle w:val="Zaglavlj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663" w:type="pct"/>
          <w:vMerge w:val="restart"/>
          <w:noWrap/>
          <w:vAlign w:val="center"/>
        </w:tcPr>
        <w:p w:rsidR="00FE0332" w:rsidRDefault="00FE0332" w:rsidP="00FE0332">
          <w:pPr>
            <w:pStyle w:val="Bezproreda"/>
            <w:rPr>
              <w:rFonts w:asciiTheme="majorHAnsi" w:hAnsiTheme="majorHAnsi"/>
            </w:rPr>
          </w:pPr>
        </w:p>
      </w:tc>
      <w:tc>
        <w:tcPr>
          <w:tcW w:w="2169" w:type="pct"/>
          <w:tcBorders>
            <w:bottom w:val="single" w:sz="4" w:space="0" w:color="4F81BD" w:themeColor="accent1"/>
          </w:tcBorders>
        </w:tcPr>
        <w:p w:rsidR="00FE0332" w:rsidRPr="00FE0332" w:rsidRDefault="00FE0332">
          <w:pPr>
            <w:pStyle w:val="Zaglavlje"/>
            <w:rPr>
              <w:rFonts w:ascii="Arial" w:eastAsiaTheme="majorEastAsia" w:hAnsi="Arial" w:cs="Arial"/>
              <w:bCs/>
              <w:sz w:val="20"/>
              <w:szCs w:val="20"/>
            </w:rPr>
          </w:pPr>
          <w:r w:rsidRPr="00FE0332">
            <w:rPr>
              <w:rFonts w:ascii="Arial" w:eastAsiaTheme="majorEastAsia" w:hAnsi="Arial" w:cs="Arial"/>
              <w:bCs/>
              <w:sz w:val="20"/>
              <w:szCs w:val="20"/>
            </w:rPr>
            <w:t>Voditeljica: Marta Novak</w:t>
          </w:r>
        </w:p>
      </w:tc>
    </w:tr>
    <w:tr w:rsidR="00FE0332" w:rsidTr="00FE0332">
      <w:trPr>
        <w:trHeight w:val="150"/>
      </w:trPr>
      <w:tc>
        <w:tcPr>
          <w:tcW w:w="2168" w:type="pct"/>
          <w:tcBorders>
            <w:top w:val="single" w:sz="4" w:space="0" w:color="4F81BD" w:themeColor="accent1"/>
          </w:tcBorders>
        </w:tcPr>
        <w:p w:rsidR="00FE0332" w:rsidRDefault="00FE0332">
          <w:pPr>
            <w:pStyle w:val="Zaglavlj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663" w:type="pct"/>
          <w:vMerge/>
        </w:tcPr>
        <w:p w:rsidR="00FE0332" w:rsidRDefault="00FE0332">
          <w:pPr>
            <w:pStyle w:val="Zaglavlj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69" w:type="pct"/>
          <w:tcBorders>
            <w:top w:val="single" w:sz="4" w:space="0" w:color="4F81BD" w:themeColor="accent1"/>
          </w:tcBorders>
        </w:tcPr>
        <w:p w:rsidR="00FE0332" w:rsidRDefault="00FE0332">
          <w:pPr>
            <w:pStyle w:val="Zaglavlj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E0332" w:rsidRPr="00FE0332" w:rsidRDefault="00FE0332" w:rsidP="00FE0332">
    <w:pPr>
      <w:autoSpaceDE w:val="0"/>
      <w:rPr>
        <w:rFonts w:ascii="Arial" w:eastAsia="ArialMT" w:hAnsi="Arial" w:cs="Arial"/>
        <w:sz w:val="20"/>
        <w:szCs w:val="20"/>
      </w:rPr>
    </w:pPr>
    <w:r w:rsidRPr="00FE0332">
      <w:rPr>
        <w:rFonts w:ascii="Arial" w:eastAsia="ArialMT" w:hAnsi="Arial" w:cs="Arial"/>
        <w:sz w:val="20"/>
        <w:szCs w:val="20"/>
      </w:rPr>
      <w:t>Ekološka grupa “Sunce”</w:t>
    </w:r>
  </w:p>
  <w:p w:rsidR="00FE0332" w:rsidRDefault="00FE033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972" w:rsidRDefault="00B70972" w:rsidP="00FE0332">
      <w:r>
        <w:separator/>
      </w:r>
    </w:p>
  </w:footnote>
  <w:footnote w:type="continuationSeparator" w:id="1">
    <w:p w:rsidR="00B70972" w:rsidRDefault="00B70972" w:rsidP="00FE0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E71"/>
    <w:rsid w:val="00002DE4"/>
    <w:rsid w:val="001C6277"/>
    <w:rsid w:val="001F1E71"/>
    <w:rsid w:val="008269CA"/>
    <w:rsid w:val="00927A9E"/>
    <w:rsid w:val="00B70972"/>
    <w:rsid w:val="00FE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7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US"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0332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332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  <w:style w:type="paragraph" w:styleId="Zaglavlje">
    <w:name w:val="header"/>
    <w:basedOn w:val="Normal"/>
    <w:link w:val="ZaglavljeChar"/>
    <w:uiPriority w:val="99"/>
    <w:unhideWhenUsed/>
    <w:rsid w:val="00FE033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FE0332"/>
    <w:rPr>
      <w:rFonts w:ascii="Times New Roman" w:eastAsia="Arial Unicode MS" w:hAnsi="Times New Roman" w:cs="Mangal"/>
      <w:kern w:val="1"/>
      <w:sz w:val="24"/>
      <w:szCs w:val="21"/>
      <w:lang w:val="en-US" w:eastAsia="hi-IN" w:bidi="hi-IN"/>
    </w:rPr>
  </w:style>
  <w:style w:type="paragraph" w:styleId="Podnoje">
    <w:name w:val="footer"/>
    <w:basedOn w:val="Normal"/>
    <w:link w:val="PodnojeChar"/>
    <w:uiPriority w:val="99"/>
    <w:semiHidden/>
    <w:unhideWhenUsed/>
    <w:rsid w:val="00FE033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FE0332"/>
    <w:rPr>
      <w:rFonts w:ascii="Times New Roman" w:eastAsia="Arial Unicode MS" w:hAnsi="Times New Roman" w:cs="Mangal"/>
      <w:kern w:val="1"/>
      <w:sz w:val="24"/>
      <w:szCs w:val="21"/>
      <w:lang w:val="en-US" w:eastAsia="hi-IN" w:bidi="hi-IN"/>
    </w:rPr>
  </w:style>
  <w:style w:type="paragraph" w:styleId="Bezproreda">
    <w:name w:val="No Spacing"/>
    <w:link w:val="BezproredaChar"/>
    <w:uiPriority w:val="1"/>
    <w:qFormat/>
    <w:rsid w:val="00FE0332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FE0332"/>
    <w:rPr>
      <w:rFonts w:eastAsiaTheme="minorEastAsia"/>
    </w:rPr>
  </w:style>
  <w:style w:type="character" w:styleId="Hiperveza">
    <w:name w:val="Hyperlink"/>
    <w:basedOn w:val="Zadanifontodlomka"/>
    <w:uiPriority w:val="99"/>
    <w:semiHidden/>
    <w:unhideWhenUsed/>
    <w:rsid w:val="00927A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</cp:revision>
  <dcterms:created xsi:type="dcterms:W3CDTF">2003-11-20T05:58:00Z</dcterms:created>
  <dcterms:modified xsi:type="dcterms:W3CDTF">2003-11-20T06:08:00Z</dcterms:modified>
</cp:coreProperties>
</file>